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63EE" w14:textId="49D1E1CF" w:rsidR="007A7FCC" w:rsidRDefault="007A7FCC" w:rsidP="004933D0">
      <w:pPr>
        <w:rPr>
          <w:b/>
          <w:sz w:val="24"/>
          <w:szCs w:val="24"/>
        </w:rPr>
      </w:pPr>
      <w:bookmarkStart w:id="0" w:name="_GoBack"/>
      <w:bookmarkEnd w:id="0"/>
    </w:p>
    <w:p w14:paraId="46BE9048" w14:textId="77777777" w:rsidR="0084442C" w:rsidRDefault="004933D0" w:rsidP="0084442C">
      <w:pPr>
        <w:spacing w:after="0"/>
        <w:jc w:val="center"/>
        <w:rPr>
          <w:b/>
          <w:sz w:val="24"/>
          <w:szCs w:val="24"/>
        </w:rPr>
      </w:pPr>
      <w:r w:rsidRPr="00B24960">
        <w:rPr>
          <w:b/>
          <w:sz w:val="24"/>
          <w:szCs w:val="24"/>
        </w:rPr>
        <w:t>FINAL ASSESSMENT REPORT</w:t>
      </w:r>
    </w:p>
    <w:p w14:paraId="17B1E670" w14:textId="77777777" w:rsidR="007A7FCC" w:rsidRDefault="007A7FCC" w:rsidP="0084442C">
      <w:pPr>
        <w:spacing w:after="0"/>
        <w:jc w:val="center"/>
        <w:rPr>
          <w:b/>
          <w:sz w:val="24"/>
          <w:szCs w:val="24"/>
        </w:rPr>
      </w:pPr>
      <w:r>
        <w:rPr>
          <w:b/>
          <w:sz w:val="24"/>
          <w:szCs w:val="24"/>
        </w:rPr>
        <w:t>Institutional Quality Assurance Program (IQAP) Review</w:t>
      </w:r>
    </w:p>
    <w:p w14:paraId="2FB48F81" w14:textId="62B5E772" w:rsidR="00087B27" w:rsidRDefault="000B6966" w:rsidP="0084442C">
      <w:pPr>
        <w:spacing w:after="0"/>
        <w:jc w:val="center"/>
        <w:rPr>
          <w:b/>
          <w:sz w:val="24"/>
          <w:szCs w:val="24"/>
        </w:rPr>
      </w:pPr>
      <w:r>
        <w:rPr>
          <w:b/>
          <w:sz w:val="24"/>
          <w:szCs w:val="24"/>
        </w:rPr>
        <w:t>Chemistry and Chemical Biology</w:t>
      </w:r>
    </w:p>
    <w:p w14:paraId="1EE206B8" w14:textId="777CE531" w:rsidR="007A7FCC" w:rsidRDefault="00087B27" w:rsidP="0084442C">
      <w:pPr>
        <w:spacing w:after="0"/>
        <w:jc w:val="center"/>
        <w:rPr>
          <w:b/>
          <w:sz w:val="24"/>
          <w:szCs w:val="24"/>
        </w:rPr>
      </w:pPr>
      <w:r>
        <w:rPr>
          <w:b/>
          <w:sz w:val="24"/>
          <w:szCs w:val="24"/>
        </w:rPr>
        <w:t xml:space="preserve">Undergraduate </w:t>
      </w:r>
      <w:r w:rsidR="001E4C11">
        <w:rPr>
          <w:b/>
          <w:sz w:val="24"/>
          <w:szCs w:val="24"/>
        </w:rPr>
        <w:t>Programs</w:t>
      </w:r>
    </w:p>
    <w:p w14:paraId="602884E1" w14:textId="77777777" w:rsidR="0084442C" w:rsidRDefault="0084442C" w:rsidP="0084442C">
      <w:pPr>
        <w:spacing w:after="0"/>
        <w:jc w:val="center"/>
        <w:rPr>
          <w:b/>
          <w:sz w:val="24"/>
          <w:szCs w:val="24"/>
        </w:rPr>
      </w:pPr>
    </w:p>
    <w:p w14:paraId="7A3F9F3D" w14:textId="316D78A4" w:rsidR="0084442C" w:rsidRPr="00F007A7" w:rsidRDefault="007A7FCC" w:rsidP="00F007A7">
      <w:pPr>
        <w:ind w:firstLine="720"/>
        <w:rPr>
          <w:b/>
        </w:rPr>
      </w:pPr>
      <w:r w:rsidRPr="00646ACC">
        <w:rPr>
          <w:b/>
        </w:rPr>
        <w:t>Date of Review:</w:t>
      </w:r>
      <w:r w:rsidR="0084442C" w:rsidRPr="00646ACC">
        <w:rPr>
          <w:b/>
        </w:rPr>
        <w:t xml:space="preserve">  </w:t>
      </w:r>
      <w:r w:rsidR="0084442C" w:rsidRPr="00646ACC">
        <w:rPr>
          <w:b/>
        </w:rPr>
        <w:tab/>
      </w:r>
      <w:r w:rsidR="0084442C" w:rsidRPr="00646ACC">
        <w:rPr>
          <w:b/>
        </w:rPr>
        <w:tab/>
      </w:r>
      <w:r w:rsidR="00391738">
        <w:t xml:space="preserve">March </w:t>
      </w:r>
      <w:r w:rsidR="000B6966">
        <w:t>9 - 10, 2015</w:t>
      </w:r>
    </w:p>
    <w:p w14:paraId="75CCE663" w14:textId="06F8C284" w:rsidR="00E92A4F" w:rsidRPr="00E92A4F" w:rsidRDefault="00E92A4F" w:rsidP="00E92A4F">
      <w:pPr>
        <w:rPr>
          <w:i/>
        </w:rPr>
      </w:pPr>
      <w:r w:rsidRPr="00E92A4F">
        <w:rPr>
          <w:i/>
        </w:rPr>
        <w:t xml:space="preserve">In accordance with the University Institutional Quality Assurance Process (IQAP), this final assessment report provides a synthesis of the external evaluation and the internal response and assessments of the </w:t>
      </w:r>
      <w:r w:rsidR="001E462B">
        <w:rPr>
          <w:i/>
        </w:rPr>
        <w:t>under</w:t>
      </w:r>
      <w:r w:rsidRPr="00E92A4F">
        <w:rPr>
          <w:i/>
        </w:rPr>
        <w:t>graduate</w:t>
      </w:r>
      <w:r w:rsidR="001E462B">
        <w:rPr>
          <w:i/>
        </w:rPr>
        <w:t xml:space="preserve"> </w:t>
      </w:r>
      <w:r w:rsidRPr="00E92A4F">
        <w:rPr>
          <w:i/>
        </w:rPr>
        <w:t xml:space="preserve">programs delivered by the </w:t>
      </w:r>
      <w:r w:rsidR="000B6966">
        <w:rPr>
          <w:b/>
          <w:i/>
        </w:rPr>
        <w:t>Department of Chemistry and Chemical Biology</w:t>
      </w:r>
      <w:r w:rsidRPr="00E92A4F">
        <w:rPr>
          <w:i/>
        </w:rPr>
        <w:t>. This report identifies the significant strengths of the program</w:t>
      </w:r>
      <w:r w:rsidR="003A7AAC">
        <w:rPr>
          <w:i/>
        </w:rPr>
        <w:t>s</w:t>
      </w:r>
      <w:r w:rsidRPr="00E92A4F">
        <w:rPr>
          <w:i/>
        </w:rPr>
        <w:t>, together with opportunities for program improvement and enhancement, and it sets out and prioritizes the recommendations that have been selected for implementation.</w:t>
      </w:r>
    </w:p>
    <w:p w14:paraId="50AF4E4A" w14:textId="77777777" w:rsidR="004933D0" w:rsidRPr="00E92A4F" w:rsidRDefault="00E92A4F" w:rsidP="00E92A4F">
      <w:pPr>
        <w:rPr>
          <w:i/>
        </w:rPr>
      </w:pPr>
      <w:r w:rsidRPr="00E92A4F">
        <w:rPr>
          <w:i/>
        </w:rPr>
        <w:t>The report includes an Implementation Plan that identifies who will be responsible for approving the recommendations set out in the Final Assessment Report; who will be responsible for providing any resources entailed by those recommendations; any changes in organization, policy or governance that will be necessary to meet the recommendations and who will be responsible for acting on those recommendations; and timelines for acting on and monitoring the implementation of those recommendations.</w:t>
      </w:r>
    </w:p>
    <w:p w14:paraId="65034B62" w14:textId="6F33E853" w:rsidR="000B6966" w:rsidRDefault="00E14370" w:rsidP="000B6966">
      <w:pPr>
        <w:spacing w:after="0"/>
        <w:jc w:val="center"/>
        <w:rPr>
          <w:b/>
          <w:sz w:val="24"/>
          <w:szCs w:val="24"/>
        </w:rPr>
      </w:pPr>
      <w:r>
        <w:rPr>
          <w:b/>
          <w:sz w:val="24"/>
          <w:szCs w:val="24"/>
        </w:rPr>
        <w:t xml:space="preserve">Executive </w:t>
      </w:r>
      <w:r w:rsidR="004933D0" w:rsidRPr="009218B8">
        <w:rPr>
          <w:b/>
          <w:sz w:val="24"/>
          <w:szCs w:val="24"/>
        </w:rPr>
        <w:t>Summary</w:t>
      </w:r>
      <w:r w:rsidR="000B6966">
        <w:rPr>
          <w:b/>
          <w:sz w:val="24"/>
          <w:szCs w:val="24"/>
        </w:rPr>
        <w:t xml:space="preserve"> of the Cyclical Program Review of the</w:t>
      </w:r>
    </w:p>
    <w:p w14:paraId="705B3D21" w14:textId="6247DAE1" w:rsidR="009218B8" w:rsidRDefault="000B6966" w:rsidP="000B6966">
      <w:pPr>
        <w:spacing w:after="0"/>
        <w:jc w:val="center"/>
        <w:rPr>
          <w:b/>
          <w:sz w:val="24"/>
          <w:szCs w:val="24"/>
        </w:rPr>
      </w:pPr>
      <w:r>
        <w:rPr>
          <w:b/>
          <w:sz w:val="24"/>
          <w:szCs w:val="24"/>
        </w:rPr>
        <w:t>Undergraduate Chemistry and Chemical Biology Programs</w:t>
      </w:r>
    </w:p>
    <w:p w14:paraId="0C827B76" w14:textId="77777777" w:rsidR="00E14370" w:rsidRDefault="00E14370" w:rsidP="00AA3FE7">
      <w:pPr>
        <w:spacing w:after="0"/>
        <w:jc w:val="center"/>
        <w:rPr>
          <w:b/>
          <w:sz w:val="24"/>
          <w:szCs w:val="24"/>
        </w:rPr>
      </w:pPr>
    </w:p>
    <w:p w14:paraId="62AF3D20" w14:textId="3EC3F543" w:rsidR="00E14370" w:rsidRDefault="00E14370" w:rsidP="00E14370">
      <w:r w:rsidRPr="005A4A3F">
        <w:t xml:space="preserve">In accordance with the Institutional Quality Assurance Process (IQAP), the </w:t>
      </w:r>
      <w:r w:rsidR="00C95F4A">
        <w:t>Department of Chemistry and Chemical Biology</w:t>
      </w:r>
      <w:r w:rsidRPr="005A4A3F">
        <w:t xml:space="preserve"> submitted a self-study </w:t>
      </w:r>
      <w:r>
        <w:t xml:space="preserve">in </w:t>
      </w:r>
      <w:r w:rsidR="00C95F4A">
        <w:t>January 2015</w:t>
      </w:r>
      <w:r>
        <w:t xml:space="preserve"> to the </w:t>
      </w:r>
      <w:r w:rsidR="003A7AAC">
        <w:t xml:space="preserve">Associate Vice-President, Faculty </w:t>
      </w:r>
      <w:r w:rsidRPr="005A4A3F">
        <w:t xml:space="preserve">to initiate the cyclical program review of its </w:t>
      </w:r>
      <w:r w:rsidR="003A7AAC">
        <w:t xml:space="preserve">undergraduate </w:t>
      </w:r>
      <w:r w:rsidRPr="005A4A3F">
        <w:t xml:space="preserve">programs.  The approved self-study presented program descriptions, learning outcomes, and analyses of data provided by the Office of Institutional Research and Analysis.  Appendices to the self-study contained all course outlines associated with the program and the CVs for each full-time member in the </w:t>
      </w:r>
      <w:r w:rsidR="00C95F4A">
        <w:t>department</w:t>
      </w:r>
      <w:r w:rsidRPr="005A4A3F">
        <w:t>.</w:t>
      </w:r>
    </w:p>
    <w:p w14:paraId="77C8CF36" w14:textId="6FF0F4C5" w:rsidR="00E14370" w:rsidRPr="005A4A3F" w:rsidRDefault="00E14370" w:rsidP="00E14370">
      <w:r w:rsidRPr="00CB7910">
        <w:t xml:space="preserve">Two </w:t>
      </w:r>
      <w:r w:rsidR="00F007A7">
        <w:t>arm’s length external reviewers, both from Ontario and one internal reviewer</w:t>
      </w:r>
      <w:r w:rsidRPr="00CB7910">
        <w:t xml:space="preserve"> were </w:t>
      </w:r>
      <w:r w:rsidR="007150BB">
        <w:t>endorsed</w:t>
      </w:r>
      <w:r w:rsidRPr="00CB7910">
        <w:t xml:space="preserve"> by the </w:t>
      </w:r>
      <w:r w:rsidR="007150BB">
        <w:t>Dean of Science, and selected by the Associate Vice-President, Faculty</w:t>
      </w:r>
      <w:r w:rsidR="001E462B">
        <w:t>.  The review team</w:t>
      </w:r>
      <w:r w:rsidRPr="00CB7910">
        <w:t xml:space="preserve"> reviewed the self-study documentation and then conducted a site visit to McMaster University on </w:t>
      </w:r>
      <w:r w:rsidR="007150BB">
        <w:t xml:space="preserve">March </w:t>
      </w:r>
      <w:r w:rsidR="00C95F4A">
        <w:t>9 – 10, 2015</w:t>
      </w:r>
      <w:r w:rsidRPr="00CB7910">
        <w:t xml:space="preserve">.  The visit included interviews with the Provost and Vice-President (Academic); </w:t>
      </w:r>
      <w:r>
        <w:t>Associate Vice-President,</w:t>
      </w:r>
      <w:r w:rsidR="007150BB">
        <w:t xml:space="preserve"> Faculty,</w:t>
      </w:r>
      <w:r>
        <w:t xml:space="preserve"> </w:t>
      </w:r>
      <w:r w:rsidR="00C95F4A">
        <w:t>Chair of the department</w:t>
      </w:r>
      <w:r w:rsidR="001E462B">
        <w:t xml:space="preserve"> </w:t>
      </w:r>
      <w:r w:rsidRPr="00CB7910">
        <w:t xml:space="preserve">and meetings with </w:t>
      </w:r>
      <w:r>
        <w:t>groups</w:t>
      </w:r>
      <w:r w:rsidRPr="00CB7910">
        <w:t xml:space="preserve"> of current </w:t>
      </w:r>
      <w:r w:rsidR="007150BB">
        <w:t>undergraduate</w:t>
      </w:r>
      <w:r w:rsidRPr="00CB7910">
        <w:t xml:space="preserve"> students, full-time faculty and support staff.  </w:t>
      </w:r>
    </w:p>
    <w:p w14:paraId="78D212D0" w14:textId="06DCD350" w:rsidR="003976FE" w:rsidRDefault="00E14370" w:rsidP="00E14370">
      <w:pPr>
        <w:spacing w:before="100" w:beforeAutospacing="1"/>
      </w:pPr>
      <w:r w:rsidRPr="005A4A3F">
        <w:t xml:space="preserve">The </w:t>
      </w:r>
      <w:r w:rsidR="00C95F4A">
        <w:t>Chair of the department</w:t>
      </w:r>
      <w:r w:rsidRPr="005A4A3F">
        <w:t xml:space="preserve"> and the </w:t>
      </w:r>
      <w:r w:rsidR="00CF7157">
        <w:t xml:space="preserve">Dean of </w:t>
      </w:r>
      <w:r w:rsidR="00C95F4A">
        <w:t xml:space="preserve">the Faculty of </w:t>
      </w:r>
      <w:r w:rsidR="00CF7157">
        <w:t>Science</w:t>
      </w:r>
      <w:r w:rsidRPr="005A4A3F">
        <w:t xml:space="preserve"> submitted responses to the Reviewers’ Report (</w:t>
      </w:r>
      <w:r w:rsidR="00C95F4A">
        <w:t>May 2015</w:t>
      </w:r>
      <w:r w:rsidRPr="005A4A3F">
        <w:t xml:space="preserve">).  Specific recommendations were discussed and clarifications and corrections were presented.  Follow-up actions and timelines were included.  </w:t>
      </w:r>
    </w:p>
    <w:p w14:paraId="6DC23B9B" w14:textId="3254DA44" w:rsidR="00E14370" w:rsidRPr="005A4A3F" w:rsidRDefault="00E14370" w:rsidP="00E14370">
      <w:pPr>
        <w:spacing w:before="100" w:beforeAutospacing="1"/>
        <w:rPr>
          <w:rFonts w:cs="Times New Roman"/>
        </w:rPr>
      </w:pPr>
      <w:r w:rsidRPr="005A4A3F">
        <w:rPr>
          <w:rFonts w:cs="Times New Roman"/>
        </w:rPr>
        <w:lastRenderedPageBreak/>
        <w:t xml:space="preserve">The Final Assessment Report was prepared by the QAC to be submitted to </w:t>
      </w:r>
      <w:r w:rsidR="00CF7157">
        <w:rPr>
          <w:rFonts w:cs="Times New Roman"/>
        </w:rPr>
        <w:t xml:space="preserve">Undergraduate Council, </w:t>
      </w:r>
      <w:r w:rsidRPr="005A4A3F">
        <w:rPr>
          <w:rFonts w:cs="Times New Roman"/>
        </w:rPr>
        <w:t>and Senate (</w:t>
      </w:r>
      <w:r w:rsidR="00E23949">
        <w:rPr>
          <w:rFonts w:cs="Times New Roman"/>
        </w:rPr>
        <w:t>October</w:t>
      </w:r>
      <w:r w:rsidR="00C95F4A">
        <w:rPr>
          <w:rFonts w:cs="Times New Roman"/>
        </w:rPr>
        <w:t xml:space="preserve"> 2015</w:t>
      </w:r>
      <w:r w:rsidRPr="005A4A3F">
        <w:rPr>
          <w:rFonts w:cs="Times New Roman"/>
        </w:rPr>
        <w:t>).</w:t>
      </w:r>
    </w:p>
    <w:p w14:paraId="4A708AA4" w14:textId="671890ED" w:rsidR="00C95F4A" w:rsidRPr="00AA13C7" w:rsidRDefault="00E14370" w:rsidP="00C95F4A">
      <w:pPr>
        <w:widowControl w:val="0"/>
        <w:autoSpaceDE w:val="0"/>
        <w:autoSpaceDN w:val="0"/>
        <w:adjustRightInd w:val="0"/>
        <w:spacing w:after="0" w:line="240" w:lineRule="auto"/>
        <w:rPr>
          <w:rFonts w:cs="Times New Roman"/>
          <w:lang w:val="en-US"/>
        </w:rPr>
      </w:pPr>
      <w:r w:rsidRPr="00AA13C7">
        <w:t>In their report (</w:t>
      </w:r>
      <w:r w:rsidR="00E23949">
        <w:t>April</w:t>
      </w:r>
      <w:r w:rsidR="00C95F4A" w:rsidRPr="00AA13C7">
        <w:t xml:space="preserve"> 2015</w:t>
      </w:r>
      <w:r w:rsidRPr="00AA13C7">
        <w:t xml:space="preserve">), the Review Team </w:t>
      </w:r>
      <w:r w:rsidR="00E23949">
        <w:t>was impressed by the quality of both the undergraduate chemistry and chemical biology programs.  The Review Team noted that both programs offer a comprehensive array of theory together with a practical lab experience that must rank amongst the best in Canada.  The Review Team acknowledged that the undergraduate students they met with were enthusiastic about their respective programs of study, expressed a high degree of satisfaction with the two academic programs, and as well with the level of support offered by the Department and the faculty members teaching them.</w:t>
      </w:r>
    </w:p>
    <w:p w14:paraId="69FD0D11" w14:textId="77777777" w:rsidR="001E388E" w:rsidRPr="00CF7157" w:rsidRDefault="001E388E" w:rsidP="001E388E">
      <w:pPr>
        <w:pStyle w:val="Default"/>
        <w:rPr>
          <w:sz w:val="23"/>
          <w:szCs w:val="23"/>
        </w:rPr>
      </w:pPr>
    </w:p>
    <w:p w14:paraId="5B47CBFA" w14:textId="324E5224" w:rsidR="0035643C" w:rsidRDefault="0035643C" w:rsidP="0035643C">
      <w:pPr>
        <w:widowControl w:val="0"/>
        <w:autoSpaceDE w:val="0"/>
        <w:autoSpaceDN w:val="0"/>
        <w:adjustRightInd w:val="0"/>
        <w:spacing w:after="0" w:line="240" w:lineRule="auto"/>
      </w:pPr>
      <w:r>
        <w:rPr>
          <w:rFonts w:cs="Times New Roman"/>
          <w:lang w:val="en-US"/>
        </w:rPr>
        <w:t xml:space="preserve">The following program strengths and </w:t>
      </w:r>
      <w:r w:rsidR="00E23949">
        <w:rPr>
          <w:rFonts w:cs="Times New Roman"/>
          <w:lang w:val="en-US"/>
        </w:rPr>
        <w:t>areas for improvement</w:t>
      </w:r>
      <w:r>
        <w:rPr>
          <w:rFonts w:cs="Times New Roman"/>
          <w:lang w:val="en-US"/>
        </w:rPr>
        <w:t xml:space="preserve"> were noted:</w:t>
      </w:r>
    </w:p>
    <w:p w14:paraId="3647E08C" w14:textId="77777777" w:rsidR="0076278E" w:rsidRPr="00B24960" w:rsidRDefault="0076278E" w:rsidP="00B24960"/>
    <w:p w14:paraId="7E7E2B7B" w14:textId="77777777" w:rsidR="009218B8" w:rsidRDefault="009218B8" w:rsidP="008E3BF0">
      <w:pPr>
        <w:rPr>
          <w:b/>
        </w:rPr>
      </w:pPr>
      <w:r w:rsidRPr="008E3BF0">
        <w:rPr>
          <w:b/>
        </w:rPr>
        <w:t>Strengths</w:t>
      </w:r>
    </w:p>
    <w:p w14:paraId="1BE66505" w14:textId="70BE3C44" w:rsidR="00DC02AD" w:rsidRDefault="007C7F9A" w:rsidP="00DC02AD">
      <w:pPr>
        <w:widowControl w:val="0"/>
        <w:autoSpaceDE w:val="0"/>
        <w:autoSpaceDN w:val="0"/>
        <w:adjustRightInd w:val="0"/>
        <w:spacing w:after="0" w:line="240" w:lineRule="auto"/>
      </w:pPr>
      <w:r>
        <w:t>The reviewers made special mention of the extensive and superior quality of</w:t>
      </w:r>
      <w:r w:rsidR="00DC02AD">
        <w:t xml:space="preserve"> the experiential aspects of both programs.  The report highlighted that these unusually intense integrated laboratory exercises bring the programs to the forefront of undergraduate chemistry (and probably all experimental science) programs across Canada.</w:t>
      </w:r>
    </w:p>
    <w:p w14:paraId="4D1AF988" w14:textId="77777777" w:rsidR="00DC02AD" w:rsidRDefault="00DC02AD" w:rsidP="00DC02AD">
      <w:pPr>
        <w:widowControl w:val="0"/>
        <w:autoSpaceDE w:val="0"/>
        <w:autoSpaceDN w:val="0"/>
        <w:adjustRightInd w:val="0"/>
        <w:spacing w:after="0" w:line="240" w:lineRule="auto"/>
      </w:pPr>
    </w:p>
    <w:p w14:paraId="226472AA" w14:textId="08A426CB" w:rsidR="00A66E75" w:rsidRPr="00DC02AD" w:rsidRDefault="00A66E75" w:rsidP="00AA13C7">
      <w:pPr>
        <w:rPr>
          <w:rFonts w:cs="Times New Roman"/>
          <w:lang w:val="en-US"/>
        </w:rPr>
      </w:pPr>
      <w:r w:rsidRPr="00DC02AD">
        <w:rPr>
          <w:rFonts w:cs="Times New Roman"/>
          <w:lang w:val="en-US"/>
        </w:rPr>
        <w:t>The report also highlights that the department has been successful in obtaining student feedback</w:t>
      </w:r>
      <w:r w:rsidR="00DC02AD">
        <w:rPr>
          <w:rFonts w:cs="Times New Roman"/>
          <w:lang w:val="en-US"/>
        </w:rPr>
        <w:t xml:space="preserve"> over multiple years,</w:t>
      </w:r>
      <w:r w:rsidRPr="00DC02AD">
        <w:rPr>
          <w:rFonts w:cs="Times New Roman"/>
          <w:lang w:val="en-US"/>
        </w:rPr>
        <w:t xml:space="preserve"> which has led to incremental improvements in many courses.</w:t>
      </w:r>
    </w:p>
    <w:p w14:paraId="4956F89B" w14:textId="224FBC1C" w:rsidR="009218B8" w:rsidRDefault="00E23949" w:rsidP="008E3BF0">
      <w:pPr>
        <w:rPr>
          <w:b/>
        </w:rPr>
      </w:pPr>
      <w:r>
        <w:rPr>
          <w:b/>
        </w:rPr>
        <w:t>Areas for Improvement</w:t>
      </w:r>
    </w:p>
    <w:p w14:paraId="70EF5C18" w14:textId="320A63BC" w:rsidR="007C7F9A" w:rsidRDefault="00A66E75" w:rsidP="008E3BF0">
      <w:r>
        <w:t xml:space="preserve">The report </w:t>
      </w:r>
      <w:r w:rsidR="00DC02AD">
        <w:t>indicated</w:t>
      </w:r>
      <w:r>
        <w:t xml:space="preserve"> that while the programs are of high quality, </w:t>
      </w:r>
      <w:r w:rsidR="00691125">
        <w:t xml:space="preserve">overall </w:t>
      </w:r>
      <w:r>
        <w:t xml:space="preserve">enrolment in both </w:t>
      </w:r>
      <w:r w:rsidR="00691125">
        <w:t xml:space="preserve">Honours </w:t>
      </w:r>
      <w:r>
        <w:t xml:space="preserve">programs is relatively low compared to others offered in the Faculty of Science.  </w:t>
      </w:r>
      <w:r w:rsidR="007C7F9A">
        <w:t>The reviewers noted that all chemistry programs in Canada are up against a demographic shift, namely an increased desire amongst students to engage with Life Science programs due to the perception that only Life Science can lead to medical school.  While the reviewers acknowledged that this problem is difficult to address, they stressed the importance of the department engaging students in first year courses.</w:t>
      </w:r>
    </w:p>
    <w:p w14:paraId="6838CF0B" w14:textId="53A0F9C3" w:rsidR="00691125" w:rsidRDefault="007C7F9A" w:rsidP="008E3BF0">
      <w:r>
        <w:t>Another key concern of the reviewers was the high attrition rate between second and third year</w:t>
      </w:r>
      <w:r w:rsidR="00DC02AD">
        <w:t>, specifically</w:t>
      </w:r>
      <w:r>
        <w:t xml:space="preserve"> in the Chemical Biology program.  The reviewers strongly encouraged the Department to review the workload in the second year of the program.  </w:t>
      </w:r>
    </w:p>
    <w:p w14:paraId="4CBA1597" w14:textId="71846C28" w:rsidR="007C7F9A" w:rsidRPr="00A66E75" w:rsidRDefault="007C7F9A" w:rsidP="008E3BF0">
      <w:r>
        <w:t xml:space="preserve">With respect </w:t>
      </w:r>
      <w:r w:rsidR="00DC02AD">
        <w:t xml:space="preserve">to </w:t>
      </w:r>
      <w:r>
        <w:t xml:space="preserve">communications, the review team felt that the department could improve upon communicating its events through the academic year and the report suggested </w:t>
      </w:r>
      <w:r w:rsidR="00DC02AD">
        <w:t xml:space="preserve">that </w:t>
      </w:r>
      <w:r>
        <w:t>the department increase its use of social media to communicate more effectively with students.</w:t>
      </w:r>
    </w:p>
    <w:p w14:paraId="53E60B64" w14:textId="7C24F660" w:rsidR="00EE56D0" w:rsidRPr="0048461D" w:rsidRDefault="00FB2ACD" w:rsidP="009218B8">
      <w:r w:rsidRPr="005A4A3F">
        <w:t xml:space="preserve">The </w:t>
      </w:r>
      <w:r w:rsidR="00AF6737">
        <w:t>Dean of the Faculty of Science</w:t>
      </w:r>
      <w:r w:rsidRPr="005A4A3F">
        <w:t xml:space="preserve">, in consultation with the </w:t>
      </w:r>
      <w:r w:rsidR="00AA13C7">
        <w:t>Chair of the Department of Chemistry and Chemical Biology</w:t>
      </w:r>
      <w:r w:rsidRPr="005A4A3F">
        <w:t xml:space="preserve"> shall b</w:t>
      </w:r>
      <w:r>
        <w:t>e responsible for monitoring the</w:t>
      </w:r>
      <w:r w:rsidRPr="005A4A3F">
        <w:t xml:space="preserve"> </w:t>
      </w:r>
      <w:r>
        <w:t>recommendations implementation plan</w:t>
      </w:r>
      <w:r w:rsidRPr="005A4A3F">
        <w:t xml:space="preserve">.  The details of the progress made will be presented in the 18-month Follow Up Report and filed in the </w:t>
      </w:r>
      <w:r w:rsidR="00B41336">
        <w:t>Associate Vice-President, Faculty’s office</w:t>
      </w:r>
      <w:r w:rsidRPr="005A4A3F">
        <w:t>.</w:t>
      </w:r>
    </w:p>
    <w:p w14:paraId="5D2B26E4" w14:textId="68C72974" w:rsidR="005138CA" w:rsidRPr="00DC02AD" w:rsidRDefault="009218B8" w:rsidP="009218B8">
      <w:pPr>
        <w:rPr>
          <w:b/>
          <w:sz w:val="24"/>
          <w:szCs w:val="24"/>
        </w:rPr>
      </w:pPr>
      <w:r w:rsidRPr="009218B8">
        <w:rPr>
          <w:b/>
          <w:sz w:val="24"/>
          <w:szCs w:val="24"/>
        </w:rPr>
        <w:lastRenderedPageBreak/>
        <w:t xml:space="preserve">Summary of the Reviewers’ Recommendations with the </w:t>
      </w:r>
      <w:r w:rsidR="00DC02AD">
        <w:rPr>
          <w:b/>
          <w:sz w:val="24"/>
          <w:szCs w:val="24"/>
        </w:rPr>
        <w:t>Department</w:t>
      </w:r>
      <w:r w:rsidR="00AF6737">
        <w:rPr>
          <w:b/>
          <w:sz w:val="24"/>
          <w:szCs w:val="24"/>
        </w:rPr>
        <w:t>’s and the Dean’s</w:t>
      </w:r>
      <w:r w:rsidRPr="009218B8">
        <w:rPr>
          <w:b/>
          <w:sz w:val="24"/>
          <w:szCs w:val="24"/>
        </w:rPr>
        <w:t xml:space="preserve"> Responses</w:t>
      </w:r>
    </w:p>
    <w:p w14:paraId="23704957" w14:textId="2EDB8B98" w:rsidR="009218B8" w:rsidRPr="00B24960" w:rsidRDefault="00CB7910" w:rsidP="009218B8">
      <w:pPr>
        <w:rPr>
          <w:b/>
        </w:rPr>
      </w:pPr>
      <w:r>
        <w:rPr>
          <w:b/>
        </w:rPr>
        <w:t>Recommendations</w:t>
      </w:r>
    </w:p>
    <w:tbl>
      <w:tblPr>
        <w:tblStyle w:val="TableGrid"/>
        <w:tblW w:w="0" w:type="auto"/>
        <w:tblLook w:val="04A0" w:firstRow="1" w:lastRow="0" w:firstColumn="1" w:lastColumn="0" w:noHBand="0" w:noVBand="1"/>
      </w:tblPr>
      <w:tblGrid>
        <w:gridCol w:w="2338"/>
        <w:gridCol w:w="2362"/>
        <w:gridCol w:w="2312"/>
        <w:gridCol w:w="2338"/>
      </w:tblGrid>
      <w:tr w:rsidR="00DF76A5" w14:paraId="64D3E68F" w14:textId="77777777" w:rsidTr="00DF76A5">
        <w:tc>
          <w:tcPr>
            <w:tcW w:w="2394" w:type="dxa"/>
          </w:tcPr>
          <w:p w14:paraId="65918346" w14:textId="77777777" w:rsidR="00DF76A5" w:rsidRDefault="00DF76A5" w:rsidP="00DF76A5">
            <w:pPr>
              <w:rPr>
                <w:b/>
              </w:rPr>
            </w:pPr>
            <w:r>
              <w:rPr>
                <w:b/>
              </w:rPr>
              <w:t>Recommendation</w:t>
            </w:r>
          </w:p>
        </w:tc>
        <w:tc>
          <w:tcPr>
            <w:tcW w:w="2394" w:type="dxa"/>
          </w:tcPr>
          <w:p w14:paraId="1A66044D" w14:textId="77777777" w:rsidR="00DF76A5" w:rsidRDefault="00DF76A5" w:rsidP="00DF76A5">
            <w:pPr>
              <w:rPr>
                <w:b/>
              </w:rPr>
            </w:pPr>
            <w:r>
              <w:rPr>
                <w:b/>
              </w:rPr>
              <w:t>Proposed Follow-Up</w:t>
            </w:r>
          </w:p>
        </w:tc>
        <w:tc>
          <w:tcPr>
            <w:tcW w:w="2394" w:type="dxa"/>
          </w:tcPr>
          <w:p w14:paraId="56BFB8B7" w14:textId="77777777" w:rsidR="00DF76A5" w:rsidRDefault="00DF76A5" w:rsidP="00DF76A5">
            <w:pPr>
              <w:rPr>
                <w:b/>
              </w:rPr>
            </w:pPr>
            <w:r>
              <w:rPr>
                <w:b/>
              </w:rPr>
              <w:t>Responsibility for Leading Follow-Up</w:t>
            </w:r>
          </w:p>
        </w:tc>
        <w:tc>
          <w:tcPr>
            <w:tcW w:w="2394" w:type="dxa"/>
          </w:tcPr>
          <w:p w14:paraId="141E2DE8" w14:textId="77777777" w:rsidR="00DF76A5" w:rsidRDefault="00DF76A5" w:rsidP="00DF76A5">
            <w:pPr>
              <w:rPr>
                <w:b/>
              </w:rPr>
            </w:pPr>
            <w:r>
              <w:rPr>
                <w:b/>
              </w:rPr>
              <w:t>Timeline for Addressing Recommendation</w:t>
            </w:r>
          </w:p>
        </w:tc>
      </w:tr>
      <w:tr w:rsidR="00DF76A5" w14:paraId="0DA09143" w14:textId="77777777" w:rsidTr="00DF76A5">
        <w:tc>
          <w:tcPr>
            <w:tcW w:w="2394" w:type="dxa"/>
          </w:tcPr>
          <w:p w14:paraId="526FF599" w14:textId="01994672" w:rsidR="00DF76A5" w:rsidRPr="0097657B" w:rsidRDefault="00AE7226" w:rsidP="00DF76A5">
            <w:r>
              <w:t>Look into courses that can be deferred to 3</w:t>
            </w:r>
            <w:r w:rsidRPr="00FA4426">
              <w:rPr>
                <w:vertAlign w:val="superscript"/>
              </w:rPr>
              <w:t>rd</w:t>
            </w:r>
            <w:r>
              <w:t xml:space="preserve"> or 4</w:t>
            </w:r>
            <w:r w:rsidRPr="00FA4426">
              <w:rPr>
                <w:vertAlign w:val="superscript"/>
              </w:rPr>
              <w:t>th</w:t>
            </w:r>
            <w:r>
              <w:t xml:space="preserve"> year to add flexibility in course sequence and electives within the program to potentially reduce attrition rates, without affecting quality</w:t>
            </w:r>
          </w:p>
          <w:p w14:paraId="2C2DE1C0" w14:textId="77777777" w:rsidR="00DF76A5" w:rsidRPr="0097657B" w:rsidRDefault="00DF76A5" w:rsidP="00DF76A5"/>
          <w:p w14:paraId="773A3D31" w14:textId="77777777" w:rsidR="00DF76A5" w:rsidRPr="0097657B" w:rsidRDefault="00DF76A5" w:rsidP="00DF76A5"/>
        </w:tc>
        <w:tc>
          <w:tcPr>
            <w:tcW w:w="2394" w:type="dxa"/>
          </w:tcPr>
          <w:p w14:paraId="104A74B8" w14:textId="4BB264A7" w:rsidR="00DF76A5" w:rsidRPr="0097657B" w:rsidRDefault="0097657B" w:rsidP="00DF76A5">
            <w:r>
              <w:t>Review course curricula for 4PC3/4PD3 with a view to increasing the attractiveness of the courses to students in physics, material sciences, etc.</w:t>
            </w:r>
          </w:p>
        </w:tc>
        <w:tc>
          <w:tcPr>
            <w:tcW w:w="2394" w:type="dxa"/>
          </w:tcPr>
          <w:p w14:paraId="136C6A53" w14:textId="15CC40B9" w:rsidR="00DF76A5" w:rsidRPr="0097657B" w:rsidRDefault="0097657B" w:rsidP="00DF76A5">
            <w:r>
              <w:t>Chemistry 4PC3/4PD3 course instructors</w:t>
            </w:r>
          </w:p>
        </w:tc>
        <w:tc>
          <w:tcPr>
            <w:tcW w:w="2394" w:type="dxa"/>
          </w:tcPr>
          <w:p w14:paraId="41379D76" w14:textId="6E5DB9CF" w:rsidR="00DF76A5" w:rsidRPr="0097657B" w:rsidRDefault="00BF7787" w:rsidP="00DF76A5">
            <w:r>
              <w:t>Update at progress report</w:t>
            </w:r>
          </w:p>
        </w:tc>
      </w:tr>
      <w:tr w:rsidR="00D13A5B" w14:paraId="0E1BC7EE" w14:textId="77777777" w:rsidTr="00DF76A5">
        <w:tc>
          <w:tcPr>
            <w:tcW w:w="2394" w:type="dxa"/>
          </w:tcPr>
          <w:p w14:paraId="3EF1F075" w14:textId="4DA748E5" w:rsidR="00D13A5B" w:rsidRDefault="00D13A5B" w:rsidP="00DF76A5">
            <w:r>
              <w:t>Look into courses that can be deferred to 3</w:t>
            </w:r>
            <w:r w:rsidRPr="00FA4426">
              <w:rPr>
                <w:vertAlign w:val="superscript"/>
              </w:rPr>
              <w:t>rd</w:t>
            </w:r>
            <w:r>
              <w:t xml:space="preserve"> or 4</w:t>
            </w:r>
            <w:r w:rsidRPr="00FA4426">
              <w:rPr>
                <w:vertAlign w:val="superscript"/>
              </w:rPr>
              <w:t>th</w:t>
            </w:r>
            <w:r>
              <w:t xml:space="preserve"> year to add flexibility in course sequence and electives within the program to potentially reduce attrition rates, without affecting quality</w:t>
            </w:r>
          </w:p>
        </w:tc>
        <w:tc>
          <w:tcPr>
            <w:tcW w:w="2394" w:type="dxa"/>
          </w:tcPr>
          <w:p w14:paraId="62A29291" w14:textId="25A46311" w:rsidR="00D13A5B" w:rsidRDefault="00D13A5B" w:rsidP="00DF76A5">
            <w:r>
              <w:t>Consider development of a new level 3 separations course</w:t>
            </w:r>
          </w:p>
        </w:tc>
        <w:tc>
          <w:tcPr>
            <w:tcW w:w="2394" w:type="dxa"/>
          </w:tcPr>
          <w:p w14:paraId="11DDAB41" w14:textId="2E794FE7" w:rsidR="00D13A5B" w:rsidRDefault="00D13A5B" w:rsidP="00DF76A5">
            <w:r>
              <w:t>Undergraduate Curriculum Committee</w:t>
            </w:r>
          </w:p>
        </w:tc>
        <w:tc>
          <w:tcPr>
            <w:tcW w:w="2394" w:type="dxa"/>
          </w:tcPr>
          <w:p w14:paraId="7FFFA9A3" w14:textId="7EFB2AC1" w:rsidR="00D13A5B" w:rsidRDefault="00D13A5B" w:rsidP="00DF76A5">
            <w:r>
              <w:t>Update at progress report</w:t>
            </w:r>
          </w:p>
        </w:tc>
      </w:tr>
      <w:tr w:rsidR="00D13A5B" w14:paraId="001ACAB8" w14:textId="77777777" w:rsidTr="00DF76A5">
        <w:tc>
          <w:tcPr>
            <w:tcW w:w="2394" w:type="dxa"/>
          </w:tcPr>
          <w:p w14:paraId="37BDA303" w14:textId="563A5007" w:rsidR="00D13A5B" w:rsidRDefault="00D13A5B" w:rsidP="00DF76A5">
            <w:r>
              <w:t>Look into courses that can be deferred to 3</w:t>
            </w:r>
            <w:r w:rsidRPr="00FA4426">
              <w:rPr>
                <w:vertAlign w:val="superscript"/>
              </w:rPr>
              <w:t>rd</w:t>
            </w:r>
            <w:r>
              <w:t xml:space="preserve"> or 4</w:t>
            </w:r>
            <w:r w:rsidRPr="00FA4426">
              <w:rPr>
                <w:vertAlign w:val="superscript"/>
              </w:rPr>
              <w:t>th</w:t>
            </w:r>
            <w:r>
              <w:t xml:space="preserve"> year to add flexibility in course sequence and electives within the program to potentially reduce attrition rates, without affecting quality</w:t>
            </w:r>
          </w:p>
        </w:tc>
        <w:tc>
          <w:tcPr>
            <w:tcW w:w="2394" w:type="dxa"/>
          </w:tcPr>
          <w:p w14:paraId="012383EF" w14:textId="161CF363" w:rsidR="00D13A5B" w:rsidRDefault="00D13A5B" w:rsidP="00DF76A5">
            <w:r>
              <w:t>Follow up with BBS regarding Biochem 3G03</w:t>
            </w:r>
          </w:p>
        </w:tc>
        <w:tc>
          <w:tcPr>
            <w:tcW w:w="2394" w:type="dxa"/>
          </w:tcPr>
          <w:p w14:paraId="4A891322" w14:textId="6FB1E472" w:rsidR="00D13A5B" w:rsidRDefault="00D13A5B" w:rsidP="00DF76A5">
            <w:r>
              <w:t>Chair</w:t>
            </w:r>
          </w:p>
        </w:tc>
        <w:tc>
          <w:tcPr>
            <w:tcW w:w="2394" w:type="dxa"/>
          </w:tcPr>
          <w:p w14:paraId="07AFD8BF" w14:textId="1695CE32" w:rsidR="00D13A5B" w:rsidRDefault="00D13A5B" w:rsidP="00DF76A5">
            <w:r>
              <w:t>June 2015</w:t>
            </w:r>
          </w:p>
        </w:tc>
      </w:tr>
      <w:tr w:rsidR="00D13A5B" w14:paraId="5E718C90" w14:textId="77777777" w:rsidTr="00DF76A5">
        <w:tc>
          <w:tcPr>
            <w:tcW w:w="2394" w:type="dxa"/>
          </w:tcPr>
          <w:p w14:paraId="7BB6BC77" w14:textId="3F0957EC" w:rsidR="00D13A5B" w:rsidRPr="0097657B" w:rsidRDefault="00D13A5B" w:rsidP="00DF76A5">
            <w:r>
              <w:t>Further engagement with first year students and continuous review and improvement of student engagement in the first year chemistry courses</w:t>
            </w:r>
          </w:p>
          <w:p w14:paraId="2C692734" w14:textId="77777777" w:rsidR="00D13A5B" w:rsidRPr="0097657B" w:rsidRDefault="00D13A5B" w:rsidP="00DF76A5"/>
          <w:p w14:paraId="5911C709" w14:textId="77777777" w:rsidR="00D13A5B" w:rsidRPr="0097657B" w:rsidRDefault="00D13A5B" w:rsidP="00DF76A5"/>
        </w:tc>
        <w:tc>
          <w:tcPr>
            <w:tcW w:w="2394" w:type="dxa"/>
          </w:tcPr>
          <w:p w14:paraId="1A0D999C" w14:textId="7C0D3983" w:rsidR="00D13A5B" w:rsidRPr="0097657B" w:rsidRDefault="00D13A5B" w:rsidP="00DF76A5">
            <w:r>
              <w:t>Review and enhance Level 1 recruiting “tools”</w:t>
            </w:r>
          </w:p>
        </w:tc>
        <w:tc>
          <w:tcPr>
            <w:tcW w:w="2394" w:type="dxa"/>
          </w:tcPr>
          <w:p w14:paraId="16CABA62" w14:textId="22645033" w:rsidR="00D13A5B" w:rsidRPr="0097657B" w:rsidRDefault="00D13A5B" w:rsidP="00DF76A5">
            <w:r>
              <w:t>RIO Committee</w:t>
            </w:r>
          </w:p>
        </w:tc>
        <w:tc>
          <w:tcPr>
            <w:tcW w:w="2394" w:type="dxa"/>
          </w:tcPr>
          <w:p w14:paraId="7A5D0ABA" w14:textId="62CF957E" w:rsidR="00D13A5B" w:rsidRPr="0097657B" w:rsidRDefault="00D13A5B" w:rsidP="00DF76A5">
            <w:r>
              <w:t>Update at progress report</w:t>
            </w:r>
          </w:p>
        </w:tc>
      </w:tr>
      <w:tr w:rsidR="00D13A5B" w14:paraId="2BA2EE2A" w14:textId="77777777" w:rsidTr="00DF76A5">
        <w:tc>
          <w:tcPr>
            <w:tcW w:w="2394" w:type="dxa"/>
          </w:tcPr>
          <w:p w14:paraId="452A480E" w14:textId="77777777" w:rsidR="00D13A5B" w:rsidRPr="0097657B" w:rsidRDefault="00D13A5B" w:rsidP="00DF76A5"/>
          <w:p w14:paraId="6AAAB168" w14:textId="77777777" w:rsidR="00D13A5B" w:rsidRPr="0097657B" w:rsidRDefault="00D13A5B" w:rsidP="00AE7226">
            <w:r>
              <w:t xml:space="preserve">Further engagement </w:t>
            </w:r>
            <w:r>
              <w:lastRenderedPageBreak/>
              <w:t>with first year students and continuous review and improvement of student engagement in the first year chemistry courses</w:t>
            </w:r>
          </w:p>
          <w:p w14:paraId="021B0F77" w14:textId="77777777" w:rsidR="00D13A5B" w:rsidRPr="0097657B" w:rsidRDefault="00D13A5B" w:rsidP="00DF76A5"/>
          <w:p w14:paraId="632CFB8E" w14:textId="77777777" w:rsidR="00D13A5B" w:rsidRPr="0097657B" w:rsidRDefault="00D13A5B" w:rsidP="00DF76A5"/>
        </w:tc>
        <w:tc>
          <w:tcPr>
            <w:tcW w:w="2394" w:type="dxa"/>
          </w:tcPr>
          <w:p w14:paraId="4FBB60B0" w14:textId="3AF40AC1" w:rsidR="00D13A5B" w:rsidRPr="0097657B" w:rsidRDefault="00D13A5B" w:rsidP="00DF76A5">
            <w:r>
              <w:lastRenderedPageBreak/>
              <w:t xml:space="preserve">Review chemistry course offerings at </w:t>
            </w:r>
            <w:r>
              <w:lastRenderedPageBreak/>
              <w:t>competitor institutions; consider new service course offerings and modifications of existing courses to attract broader clientele</w:t>
            </w:r>
          </w:p>
        </w:tc>
        <w:tc>
          <w:tcPr>
            <w:tcW w:w="2394" w:type="dxa"/>
          </w:tcPr>
          <w:p w14:paraId="62791235" w14:textId="3F4D5DC3" w:rsidR="00D13A5B" w:rsidRPr="0097657B" w:rsidRDefault="00D13A5B" w:rsidP="00DF76A5">
            <w:r>
              <w:lastRenderedPageBreak/>
              <w:t>Undergraduate Curriculum Committee</w:t>
            </w:r>
          </w:p>
        </w:tc>
        <w:tc>
          <w:tcPr>
            <w:tcW w:w="2394" w:type="dxa"/>
          </w:tcPr>
          <w:p w14:paraId="59BC6607" w14:textId="50A6E095" w:rsidR="00D13A5B" w:rsidRPr="0097657B" w:rsidRDefault="00D13A5B" w:rsidP="00DF76A5">
            <w:r>
              <w:t>Update at progress report</w:t>
            </w:r>
          </w:p>
        </w:tc>
      </w:tr>
      <w:tr w:rsidR="00D13A5B" w14:paraId="074D0F2D" w14:textId="77777777" w:rsidTr="00DF76A5">
        <w:tc>
          <w:tcPr>
            <w:tcW w:w="2394" w:type="dxa"/>
          </w:tcPr>
          <w:p w14:paraId="3FDACBC8" w14:textId="647EC4F0" w:rsidR="00D13A5B" w:rsidRPr="0097657B" w:rsidRDefault="00D13A5B" w:rsidP="00DF76A5">
            <w:r>
              <w:t>Review workload in second year Chemical Biology (specifically)</w:t>
            </w:r>
          </w:p>
        </w:tc>
        <w:tc>
          <w:tcPr>
            <w:tcW w:w="2394" w:type="dxa"/>
          </w:tcPr>
          <w:p w14:paraId="47C88728" w14:textId="275C4462" w:rsidR="00D13A5B" w:rsidRDefault="00D13A5B" w:rsidP="00DF76A5">
            <w:r>
              <w:t>Develop plan for undergraduate curriculum renewal</w:t>
            </w:r>
          </w:p>
        </w:tc>
        <w:tc>
          <w:tcPr>
            <w:tcW w:w="2394" w:type="dxa"/>
          </w:tcPr>
          <w:p w14:paraId="72F5D8A7" w14:textId="272271BF" w:rsidR="00D13A5B" w:rsidRDefault="00D13A5B" w:rsidP="00DF76A5">
            <w:r>
              <w:t>Chair</w:t>
            </w:r>
          </w:p>
        </w:tc>
        <w:tc>
          <w:tcPr>
            <w:tcW w:w="2394" w:type="dxa"/>
          </w:tcPr>
          <w:p w14:paraId="5C8577AD" w14:textId="586E9959" w:rsidR="00D13A5B" w:rsidRPr="0097657B" w:rsidRDefault="00D13A5B" w:rsidP="00DF76A5">
            <w:r>
              <w:t>Update at progress report</w:t>
            </w:r>
          </w:p>
        </w:tc>
      </w:tr>
      <w:tr w:rsidR="00D13A5B" w14:paraId="71D08CB1" w14:textId="77777777" w:rsidTr="00DF76A5">
        <w:tc>
          <w:tcPr>
            <w:tcW w:w="2394" w:type="dxa"/>
          </w:tcPr>
          <w:p w14:paraId="2A60A9CC" w14:textId="76EE997C" w:rsidR="00D13A5B" w:rsidRPr="0097657B" w:rsidRDefault="00D13A5B" w:rsidP="00DF76A5">
            <w:r>
              <w:t>Review workload in second year Chemical Biology (specifically)</w:t>
            </w:r>
          </w:p>
        </w:tc>
        <w:tc>
          <w:tcPr>
            <w:tcW w:w="2394" w:type="dxa"/>
          </w:tcPr>
          <w:p w14:paraId="595EAF14" w14:textId="68B2674C" w:rsidR="00D13A5B" w:rsidRDefault="00D13A5B" w:rsidP="00DF76A5">
            <w:r>
              <w:t>Enhance the follow-up on annual Program Refinement exercises in both programs</w:t>
            </w:r>
          </w:p>
        </w:tc>
        <w:tc>
          <w:tcPr>
            <w:tcW w:w="2394" w:type="dxa"/>
          </w:tcPr>
          <w:p w14:paraId="206F8668" w14:textId="130AE4FE" w:rsidR="00D13A5B" w:rsidRDefault="00D13A5B" w:rsidP="00DF76A5">
            <w:r>
              <w:t>Chair</w:t>
            </w:r>
          </w:p>
        </w:tc>
        <w:tc>
          <w:tcPr>
            <w:tcW w:w="2394" w:type="dxa"/>
          </w:tcPr>
          <w:p w14:paraId="71840C16" w14:textId="14BE2C6F" w:rsidR="00D13A5B" w:rsidRPr="0097657B" w:rsidRDefault="00D13A5B" w:rsidP="00DF76A5">
            <w:r>
              <w:t>Update at progress report</w:t>
            </w:r>
          </w:p>
        </w:tc>
      </w:tr>
      <w:tr w:rsidR="00D13A5B" w14:paraId="3D3A7C57" w14:textId="77777777" w:rsidTr="00DF76A5">
        <w:tc>
          <w:tcPr>
            <w:tcW w:w="2394" w:type="dxa"/>
          </w:tcPr>
          <w:p w14:paraId="3A832827" w14:textId="586CB310" w:rsidR="00D13A5B" w:rsidRDefault="00D13A5B" w:rsidP="00DF76A5">
            <w:r>
              <w:t>Review workload in second year Chemical Biology (specifically)</w:t>
            </w:r>
          </w:p>
          <w:p w14:paraId="54A82E9E" w14:textId="77777777" w:rsidR="00D13A5B" w:rsidRDefault="00D13A5B" w:rsidP="00DF76A5"/>
          <w:p w14:paraId="5311440E" w14:textId="77777777" w:rsidR="00D13A5B" w:rsidRDefault="00D13A5B" w:rsidP="00DF76A5"/>
          <w:p w14:paraId="25008803" w14:textId="3A576714" w:rsidR="00D13A5B" w:rsidRPr="0097657B" w:rsidRDefault="00D13A5B" w:rsidP="00DF76A5"/>
        </w:tc>
        <w:tc>
          <w:tcPr>
            <w:tcW w:w="2394" w:type="dxa"/>
          </w:tcPr>
          <w:p w14:paraId="206EB202" w14:textId="07C0F79E" w:rsidR="00D13A5B" w:rsidRDefault="00D13A5B" w:rsidP="00DF76A5">
            <w:r>
              <w:t>Remedy workload issues in ChemBio 2Q03 and 2AA3</w:t>
            </w:r>
          </w:p>
        </w:tc>
        <w:tc>
          <w:tcPr>
            <w:tcW w:w="2394" w:type="dxa"/>
          </w:tcPr>
          <w:p w14:paraId="51AFC52D" w14:textId="21AC588F" w:rsidR="00D13A5B" w:rsidRDefault="00D13A5B" w:rsidP="00DF76A5">
            <w:r>
              <w:t>Chair</w:t>
            </w:r>
          </w:p>
        </w:tc>
        <w:tc>
          <w:tcPr>
            <w:tcW w:w="2394" w:type="dxa"/>
          </w:tcPr>
          <w:p w14:paraId="5F2C3001" w14:textId="31F08E73" w:rsidR="00D13A5B" w:rsidRPr="0097657B" w:rsidRDefault="00D13A5B" w:rsidP="00DF76A5">
            <w:r>
              <w:t>Update at progress report</w:t>
            </w:r>
          </w:p>
        </w:tc>
      </w:tr>
      <w:tr w:rsidR="00D13A5B" w14:paraId="5CF9B37F" w14:textId="77777777" w:rsidTr="00DF76A5">
        <w:tc>
          <w:tcPr>
            <w:tcW w:w="2394" w:type="dxa"/>
          </w:tcPr>
          <w:p w14:paraId="342FC855" w14:textId="4FC38A0C" w:rsidR="00D13A5B" w:rsidRPr="0097657B" w:rsidRDefault="00D13A5B" w:rsidP="00DF76A5">
            <w:r>
              <w:t>Increase social media presence (activate a Facebook page and/or a Twitter feed)</w:t>
            </w:r>
          </w:p>
        </w:tc>
        <w:tc>
          <w:tcPr>
            <w:tcW w:w="2394" w:type="dxa"/>
          </w:tcPr>
          <w:p w14:paraId="28252671" w14:textId="3754736E" w:rsidR="00D13A5B" w:rsidRDefault="00D13A5B" w:rsidP="00DF76A5">
            <w:r>
              <w:t>Create new committee to redesign departmental webpage; establish use of social media tools to enhance contact with current students and with alumni; establish workable mechanism for maintaining these resources</w:t>
            </w:r>
          </w:p>
        </w:tc>
        <w:tc>
          <w:tcPr>
            <w:tcW w:w="2394" w:type="dxa"/>
          </w:tcPr>
          <w:p w14:paraId="3440946B" w14:textId="5F97DAE7" w:rsidR="00D13A5B" w:rsidRDefault="00D13A5B" w:rsidP="00DF76A5">
            <w:r>
              <w:t>Chair</w:t>
            </w:r>
          </w:p>
        </w:tc>
        <w:tc>
          <w:tcPr>
            <w:tcW w:w="2394" w:type="dxa"/>
          </w:tcPr>
          <w:p w14:paraId="2C8A9EC5" w14:textId="74959A88" w:rsidR="00D13A5B" w:rsidRDefault="00D13A5B" w:rsidP="00DF76A5">
            <w:r>
              <w:t>Update at progress report</w:t>
            </w:r>
          </w:p>
        </w:tc>
      </w:tr>
      <w:tr w:rsidR="00D13A5B" w14:paraId="164E3578" w14:textId="77777777" w:rsidTr="00DF76A5">
        <w:tc>
          <w:tcPr>
            <w:tcW w:w="2394" w:type="dxa"/>
          </w:tcPr>
          <w:p w14:paraId="2707133E" w14:textId="77777777" w:rsidR="00D13A5B" w:rsidRPr="0097657B" w:rsidRDefault="00D13A5B" w:rsidP="00DF76A5"/>
        </w:tc>
        <w:tc>
          <w:tcPr>
            <w:tcW w:w="2394" w:type="dxa"/>
          </w:tcPr>
          <w:p w14:paraId="5579F70E" w14:textId="245CC0E0" w:rsidR="00D13A5B" w:rsidRDefault="00D13A5B" w:rsidP="00DF76A5">
            <w:r>
              <w:t>Develop exit surveys for graduating students and 2 – 3 year alumni surveys; develop and maintain database of student contact information</w:t>
            </w:r>
          </w:p>
        </w:tc>
        <w:tc>
          <w:tcPr>
            <w:tcW w:w="2394" w:type="dxa"/>
          </w:tcPr>
          <w:p w14:paraId="4307C381" w14:textId="5FB5B43F" w:rsidR="00D13A5B" w:rsidRDefault="00D13A5B" w:rsidP="00DF76A5">
            <w:r>
              <w:t>Chair</w:t>
            </w:r>
          </w:p>
        </w:tc>
        <w:tc>
          <w:tcPr>
            <w:tcW w:w="2394" w:type="dxa"/>
          </w:tcPr>
          <w:p w14:paraId="1BE40987" w14:textId="2A563B8F" w:rsidR="00D13A5B" w:rsidRDefault="00D13A5B" w:rsidP="00DF76A5">
            <w:r>
              <w:t>Update at progress report</w:t>
            </w:r>
          </w:p>
        </w:tc>
      </w:tr>
      <w:tr w:rsidR="00D13A5B" w14:paraId="7C462940" w14:textId="77777777" w:rsidTr="00DF76A5">
        <w:tc>
          <w:tcPr>
            <w:tcW w:w="2394" w:type="dxa"/>
          </w:tcPr>
          <w:p w14:paraId="0048B9E5" w14:textId="77777777" w:rsidR="00D13A5B" w:rsidRPr="0097657B" w:rsidRDefault="00D13A5B" w:rsidP="00AE7226"/>
          <w:p w14:paraId="011030C1" w14:textId="77777777" w:rsidR="00D13A5B" w:rsidRPr="0097657B" w:rsidRDefault="00D13A5B" w:rsidP="00AE7226"/>
          <w:p w14:paraId="2D0B8E1B" w14:textId="77777777" w:rsidR="00D13A5B" w:rsidRPr="0097657B" w:rsidRDefault="00D13A5B" w:rsidP="00DF76A5"/>
        </w:tc>
        <w:tc>
          <w:tcPr>
            <w:tcW w:w="2394" w:type="dxa"/>
          </w:tcPr>
          <w:p w14:paraId="2F577116" w14:textId="652B162F" w:rsidR="00D13A5B" w:rsidRDefault="00D13A5B" w:rsidP="00DF76A5">
            <w:r>
              <w:t>Examine role of communication and other soft skills development in the two programs to ensure adequate and equal representation in the curricula</w:t>
            </w:r>
          </w:p>
        </w:tc>
        <w:tc>
          <w:tcPr>
            <w:tcW w:w="2394" w:type="dxa"/>
          </w:tcPr>
          <w:p w14:paraId="489A1336" w14:textId="40FEE885" w:rsidR="00D13A5B" w:rsidRDefault="00D13A5B" w:rsidP="00DF76A5">
            <w:r>
              <w:t>Undergraduate Curriculum Committee</w:t>
            </w:r>
          </w:p>
        </w:tc>
        <w:tc>
          <w:tcPr>
            <w:tcW w:w="2394" w:type="dxa"/>
          </w:tcPr>
          <w:p w14:paraId="59DFDDA0" w14:textId="0E2B1481" w:rsidR="00D13A5B" w:rsidRDefault="00D13A5B" w:rsidP="00DF76A5">
            <w:r>
              <w:t>Update at progress report</w:t>
            </w:r>
          </w:p>
        </w:tc>
      </w:tr>
      <w:tr w:rsidR="00D13A5B" w14:paraId="03587919" w14:textId="77777777" w:rsidTr="00DF76A5">
        <w:tc>
          <w:tcPr>
            <w:tcW w:w="2394" w:type="dxa"/>
          </w:tcPr>
          <w:p w14:paraId="762F2BE5" w14:textId="77777777" w:rsidR="00D13A5B" w:rsidRPr="0097657B" w:rsidRDefault="00D13A5B" w:rsidP="00AE7226"/>
          <w:p w14:paraId="0AB3EA1A" w14:textId="77777777" w:rsidR="00D13A5B" w:rsidRPr="0097657B" w:rsidRDefault="00D13A5B" w:rsidP="00AE7226"/>
          <w:p w14:paraId="3687A6BC" w14:textId="77777777" w:rsidR="00D13A5B" w:rsidRPr="0097657B" w:rsidRDefault="00D13A5B" w:rsidP="00DF76A5"/>
        </w:tc>
        <w:tc>
          <w:tcPr>
            <w:tcW w:w="2394" w:type="dxa"/>
          </w:tcPr>
          <w:p w14:paraId="0D145470" w14:textId="3328AF4D" w:rsidR="00D13A5B" w:rsidRDefault="00D13A5B" w:rsidP="00DF76A5">
            <w:r>
              <w:t>Introduce annual or semiannual departmental reviews of course grades prior to end-of-term grade submission and approval</w:t>
            </w:r>
          </w:p>
        </w:tc>
        <w:tc>
          <w:tcPr>
            <w:tcW w:w="2394" w:type="dxa"/>
          </w:tcPr>
          <w:p w14:paraId="5FF813DE" w14:textId="3AD9FE3B" w:rsidR="00D13A5B" w:rsidRDefault="00D13A5B" w:rsidP="00DF76A5">
            <w:r>
              <w:t>Chair</w:t>
            </w:r>
          </w:p>
        </w:tc>
        <w:tc>
          <w:tcPr>
            <w:tcW w:w="2394" w:type="dxa"/>
          </w:tcPr>
          <w:p w14:paraId="4B1F1AEB" w14:textId="57FAEE6E" w:rsidR="00D13A5B" w:rsidRDefault="00D13A5B" w:rsidP="00DF76A5">
            <w:r>
              <w:t>Update at progress report</w:t>
            </w:r>
          </w:p>
        </w:tc>
      </w:tr>
      <w:tr w:rsidR="00D13A5B" w14:paraId="0A92D0EA" w14:textId="77777777" w:rsidTr="00DF76A5">
        <w:tc>
          <w:tcPr>
            <w:tcW w:w="2394" w:type="dxa"/>
          </w:tcPr>
          <w:p w14:paraId="09FCA190" w14:textId="77777777" w:rsidR="00D13A5B" w:rsidRPr="0097657B" w:rsidRDefault="00D13A5B" w:rsidP="00DF76A5"/>
        </w:tc>
        <w:tc>
          <w:tcPr>
            <w:tcW w:w="2394" w:type="dxa"/>
          </w:tcPr>
          <w:p w14:paraId="3BCEC3D1" w14:textId="75CD53DB" w:rsidR="00D13A5B" w:rsidRDefault="00D13A5B" w:rsidP="00DF76A5">
            <w:r>
              <w:t>Create faculty/staff/student committee to examine efficiencies and inefficiencies in undergraduate laboratory space usage; create a record of what is used when and to what end for all areas</w:t>
            </w:r>
          </w:p>
        </w:tc>
        <w:tc>
          <w:tcPr>
            <w:tcW w:w="2394" w:type="dxa"/>
          </w:tcPr>
          <w:p w14:paraId="063AECBD" w14:textId="6116EE7E" w:rsidR="00D13A5B" w:rsidRDefault="00D13A5B" w:rsidP="00DF76A5">
            <w:r>
              <w:t>Chair</w:t>
            </w:r>
          </w:p>
        </w:tc>
        <w:tc>
          <w:tcPr>
            <w:tcW w:w="2394" w:type="dxa"/>
          </w:tcPr>
          <w:p w14:paraId="1D98D0E6" w14:textId="47C85461" w:rsidR="00D13A5B" w:rsidRDefault="00D13A5B" w:rsidP="00DF76A5">
            <w:r>
              <w:t>Update at progress report</w:t>
            </w:r>
          </w:p>
        </w:tc>
      </w:tr>
      <w:tr w:rsidR="00D13A5B" w14:paraId="7ECAC9F8" w14:textId="77777777" w:rsidTr="00DF76A5">
        <w:tc>
          <w:tcPr>
            <w:tcW w:w="2394" w:type="dxa"/>
          </w:tcPr>
          <w:p w14:paraId="24A14C2B" w14:textId="77777777" w:rsidR="00D13A5B" w:rsidRPr="0097657B" w:rsidRDefault="00D13A5B" w:rsidP="00DF76A5"/>
        </w:tc>
        <w:tc>
          <w:tcPr>
            <w:tcW w:w="2394" w:type="dxa"/>
          </w:tcPr>
          <w:p w14:paraId="5AF3D913" w14:textId="1FD8DF2E" w:rsidR="00D13A5B" w:rsidRDefault="00D13A5B" w:rsidP="00DF76A5">
            <w:r>
              <w:t>Develop new end-of-course surveys based on NSSE-CLASSE survey system</w:t>
            </w:r>
          </w:p>
        </w:tc>
        <w:tc>
          <w:tcPr>
            <w:tcW w:w="2394" w:type="dxa"/>
          </w:tcPr>
          <w:p w14:paraId="57DB845E" w14:textId="5DF6BBEE" w:rsidR="00D13A5B" w:rsidRDefault="00D13A5B" w:rsidP="00DF76A5">
            <w:r>
              <w:t>Chair</w:t>
            </w:r>
          </w:p>
        </w:tc>
        <w:tc>
          <w:tcPr>
            <w:tcW w:w="2394" w:type="dxa"/>
          </w:tcPr>
          <w:p w14:paraId="1B71FB84" w14:textId="5D947998" w:rsidR="00D13A5B" w:rsidRDefault="00D13A5B" w:rsidP="00DF76A5">
            <w:r>
              <w:t>Update at progress report</w:t>
            </w:r>
          </w:p>
        </w:tc>
      </w:tr>
      <w:tr w:rsidR="00D13A5B" w14:paraId="414C3759" w14:textId="77777777" w:rsidTr="00DF76A5">
        <w:tc>
          <w:tcPr>
            <w:tcW w:w="2394" w:type="dxa"/>
          </w:tcPr>
          <w:p w14:paraId="6C60DCA7" w14:textId="77777777" w:rsidR="00D13A5B" w:rsidRPr="0097657B" w:rsidRDefault="00D13A5B" w:rsidP="00DF76A5"/>
        </w:tc>
        <w:tc>
          <w:tcPr>
            <w:tcW w:w="2394" w:type="dxa"/>
          </w:tcPr>
          <w:p w14:paraId="5AFDE562" w14:textId="240997C8" w:rsidR="00D13A5B" w:rsidRDefault="00D13A5B" w:rsidP="00DF76A5">
            <w:r>
              <w:t>2014-15 Engaging Lecture Committee to review and modify initial production</w:t>
            </w:r>
          </w:p>
        </w:tc>
        <w:tc>
          <w:tcPr>
            <w:tcW w:w="2394" w:type="dxa"/>
          </w:tcPr>
          <w:p w14:paraId="5955BE09" w14:textId="1F10AC26" w:rsidR="00D13A5B" w:rsidRDefault="00D13A5B" w:rsidP="00DF76A5">
            <w:r>
              <w:t>2014-15 Engaging Lecture Committee</w:t>
            </w:r>
          </w:p>
        </w:tc>
        <w:tc>
          <w:tcPr>
            <w:tcW w:w="2394" w:type="dxa"/>
          </w:tcPr>
          <w:p w14:paraId="49684C84" w14:textId="5DA8F523" w:rsidR="00D13A5B" w:rsidRDefault="00D13A5B" w:rsidP="00DF76A5">
            <w:r>
              <w:t>Update at progress report</w:t>
            </w:r>
          </w:p>
        </w:tc>
      </w:tr>
      <w:tr w:rsidR="00D13A5B" w14:paraId="7C2B57FC" w14:textId="77777777" w:rsidTr="00DF76A5">
        <w:tc>
          <w:tcPr>
            <w:tcW w:w="2394" w:type="dxa"/>
          </w:tcPr>
          <w:p w14:paraId="06F1C3FD" w14:textId="77777777" w:rsidR="00D13A5B" w:rsidRPr="0097657B" w:rsidRDefault="00D13A5B" w:rsidP="00DF76A5"/>
        </w:tc>
        <w:tc>
          <w:tcPr>
            <w:tcW w:w="2394" w:type="dxa"/>
          </w:tcPr>
          <w:p w14:paraId="03F873CA" w14:textId="35D1168F" w:rsidR="00D13A5B" w:rsidRDefault="00D13A5B" w:rsidP="00DF76A5">
            <w:r>
              <w:t>Review laboratory exercises and modify those for which time over runs are a problem</w:t>
            </w:r>
          </w:p>
        </w:tc>
        <w:tc>
          <w:tcPr>
            <w:tcW w:w="2394" w:type="dxa"/>
          </w:tcPr>
          <w:p w14:paraId="6D7ECCAB" w14:textId="315B336F" w:rsidR="00D13A5B" w:rsidRDefault="00D13A5B" w:rsidP="00DF76A5">
            <w:r>
              <w:t>Chem 2LA3/2LB3 and ChemBio 2L03 instructors</w:t>
            </w:r>
          </w:p>
        </w:tc>
        <w:tc>
          <w:tcPr>
            <w:tcW w:w="2394" w:type="dxa"/>
          </w:tcPr>
          <w:p w14:paraId="347EB67B" w14:textId="12D0E7BE" w:rsidR="00D13A5B" w:rsidRDefault="00D13A5B" w:rsidP="00DF76A5">
            <w:r>
              <w:t>Update at progress report</w:t>
            </w:r>
          </w:p>
        </w:tc>
      </w:tr>
    </w:tbl>
    <w:p w14:paraId="694F2293" w14:textId="77777777" w:rsidR="002271FF" w:rsidRPr="001E388E" w:rsidRDefault="002271FF" w:rsidP="001E388E">
      <w:pPr>
        <w:spacing w:after="0"/>
      </w:pPr>
    </w:p>
    <w:p w14:paraId="5C2E2F75" w14:textId="77777777" w:rsidR="00407E13" w:rsidRDefault="00407E13" w:rsidP="00DD0560">
      <w:pPr>
        <w:spacing w:after="0"/>
        <w:rPr>
          <w:b/>
        </w:rPr>
      </w:pPr>
    </w:p>
    <w:p w14:paraId="65C89768" w14:textId="77777777" w:rsidR="00137880" w:rsidRDefault="00137880" w:rsidP="00407E13">
      <w:pPr>
        <w:spacing w:after="0"/>
      </w:pPr>
    </w:p>
    <w:p w14:paraId="5B65661E" w14:textId="55EE94A5" w:rsidR="00137880" w:rsidRDefault="00137880" w:rsidP="00137880">
      <w:pPr>
        <w:spacing w:after="0"/>
        <w:jc w:val="center"/>
        <w:rPr>
          <w:b/>
        </w:rPr>
      </w:pPr>
      <w:r>
        <w:rPr>
          <w:b/>
        </w:rPr>
        <w:t>Quality Ass</w:t>
      </w:r>
      <w:r w:rsidR="00712F4C">
        <w:rPr>
          <w:b/>
        </w:rPr>
        <w:t>urance Committee Recommendation</w:t>
      </w:r>
    </w:p>
    <w:p w14:paraId="5C0B77F8" w14:textId="77777777" w:rsidR="00137880" w:rsidRDefault="00137880" w:rsidP="00712F4C">
      <w:pPr>
        <w:spacing w:after="0"/>
        <w:jc w:val="center"/>
        <w:rPr>
          <w:rFonts w:cs="Times New Roman"/>
        </w:rPr>
      </w:pPr>
    </w:p>
    <w:p w14:paraId="0E9F0058" w14:textId="7F0F817C" w:rsidR="00BF7787" w:rsidRPr="004F1FB3" w:rsidRDefault="00BF7787" w:rsidP="00BF7787">
      <w:pPr>
        <w:spacing w:before="100" w:beforeAutospacing="1"/>
        <w:rPr>
          <w:rFonts w:cs="Times New Roman"/>
        </w:rPr>
      </w:pPr>
      <w:r>
        <w:t>McMaster’s Quality Assurance Committee (QAC) reviewed the</w:t>
      </w:r>
      <w:r w:rsidRPr="005A4A3F">
        <w:t xml:space="preserve"> above documentation and the committee </w:t>
      </w:r>
      <w:r w:rsidR="004F1FB3">
        <w:t>recommended</w:t>
      </w:r>
      <w:r w:rsidRPr="005A4A3F">
        <w:t xml:space="preserve"> that </w:t>
      </w:r>
      <w:r w:rsidR="004F1FB3" w:rsidRPr="004F1FB3">
        <w:rPr>
          <w:rFonts w:ascii="Calibri" w:hAnsi="Calibri" w:cs="Calibri"/>
          <w:lang w:val="en-US"/>
        </w:rPr>
        <w:t>the program should follow the regular course of action with an 18-month follow-up report and a subsequent full external cyclical review to be conducted no later than 8 years after the start of the last review. The follow-up report should include an outline of strategies to increase total enrollments in both Programs and an update on the efforts to reduce attrition in the Programs, particularly between levels II and III of the Chemical Biology program.</w:t>
      </w:r>
    </w:p>
    <w:p w14:paraId="76755732" w14:textId="77777777" w:rsidR="00BF7787" w:rsidRDefault="00BF7787" w:rsidP="00BF7787">
      <w:pPr>
        <w:spacing w:after="0"/>
        <w:rPr>
          <w:rFonts w:cs="Times New Roman"/>
        </w:rPr>
      </w:pPr>
    </w:p>
    <w:p w14:paraId="13324715" w14:textId="77777777" w:rsidR="00407E13" w:rsidRDefault="00407E13" w:rsidP="00407E13">
      <w:pPr>
        <w:spacing w:after="0"/>
      </w:pPr>
    </w:p>
    <w:p w14:paraId="72DF9449" w14:textId="77777777" w:rsidR="00407E13" w:rsidRPr="00DD0560" w:rsidRDefault="00407E13" w:rsidP="00DD0560">
      <w:pPr>
        <w:spacing w:after="0"/>
        <w:rPr>
          <w:b/>
        </w:rPr>
      </w:pPr>
    </w:p>
    <w:p w14:paraId="41F970CE" w14:textId="77777777" w:rsidR="00AB5269" w:rsidRDefault="00AB5269" w:rsidP="009218B8">
      <w:pPr>
        <w:rPr>
          <w:b/>
          <w:sz w:val="24"/>
          <w:szCs w:val="24"/>
        </w:rPr>
      </w:pPr>
    </w:p>
    <w:p w14:paraId="1969745E" w14:textId="77777777" w:rsidR="00AB5269" w:rsidRDefault="00AB5269" w:rsidP="009218B8">
      <w:pPr>
        <w:rPr>
          <w:b/>
          <w:sz w:val="24"/>
          <w:szCs w:val="24"/>
        </w:rPr>
      </w:pPr>
    </w:p>
    <w:p w14:paraId="116C3305" w14:textId="3219214C" w:rsidR="000B00AC" w:rsidRDefault="000B00AC" w:rsidP="009218B8">
      <w:pPr>
        <w:rPr>
          <w:sz w:val="24"/>
          <w:szCs w:val="24"/>
        </w:rPr>
      </w:pPr>
    </w:p>
    <w:sectPr w:rsidR="000B00AC" w:rsidSect="00EB65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F2"/>
    <w:multiLevelType w:val="hybridMultilevel"/>
    <w:tmpl w:val="1E2C0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D94A9D"/>
    <w:multiLevelType w:val="hybridMultilevel"/>
    <w:tmpl w:val="58845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71A81"/>
    <w:multiLevelType w:val="hybridMultilevel"/>
    <w:tmpl w:val="270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62C08"/>
    <w:multiLevelType w:val="hybridMultilevel"/>
    <w:tmpl w:val="BA2C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727BD"/>
    <w:multiLevelType w:val="hybridMultilevel"/>
    <w:tmpl w:val="77D6E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940D2"/>
    <w:multiLevelType w:val="hybridMultilevel"/>
    <w:tmpl w:val="E14E0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510741"/>
    <w:multiLevelType w:val="hybridMultilevel"/>
    <w:tmpl w:val="E32483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A656935"/>
    <w:multiLevelType w:val="hybridMultilevel"/>
    <w:tmpl w:val="E946B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D5850"/>
    <w:multiLevelType w:val="hybridMultilevel"/>
    <w:tmpl w:val="86E4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23172"/>
    <w:multiLevelType w:val="hybridMultilevel"/>
    <w:tmpl w:val="3F7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96CFB"/>
    <w:multiLevelType w:val="hybridMultilevel"/>
    <w:tmpl w:val="2C8685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9611B3"/>
    <w:multiLevelType w:val="hybridMultilevel"/>
    <w:tmpl w:val="F530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52BC8"/>
    <w:multiLevelType w:val="hybridMultilevel"/>
    <w:tmpl w:val="99A03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A321BF"/>
    <w:multiLevelType w:val="hybridMultilevel"/>
    <w:tmpl w:val="953CB3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C2100B"/>
    <w:multiLevelType w:val="hybridMultilevel"/>
    <w:tmpl w:val="5EC4F8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876CC8"/>
    <w:multiLevelType w:val="hybridMultilevel"/>
    <w:tmpl w:val="2424D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6"/>
  </w:num>
  <w:num w:numId="5">
    <w:abstractNumId w:val="7"/>
  </w:num>
  <w:num w:numId="6">
    <w:abstractNumId w:val="14"/>
  </w:num>
  <w:num w:numId="7">
    <w:abstractNumId w:val="13"/>
  </w:num>
  <w:num w:numId="8">
    <w:abstractNumId w:val="8"/>
  </w:num>
  <w:num w:numId="9">
    <w:abstractNumId w:val="10"/>
  </w:num>
  <w:num w:numId="10">
    <w:abstractNumId w:val="9"/>
  </w:num>
  <w:num w:numId="11">
    <w:abstractNumId w:val="1"/>
  </w:num>
  <w:num w:numId="12">
    <w:abstractNumId w:val="4"/>
  </w:num>
  <w:num w:numId="13">
    <w:abstractNumId w:val="12"/>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D0"/>
    <w:rsid w:val="0002451C"/>
    <w:rsid w:val="00037A66"/>
    <w:rsid w:val="0005385C"/>
    <w:rsid w:val="0008043C"/>
    <w:rsid w:val="00087B27"/>
    <w:rsid w:val="000B00AC"/>
    <w:rsid w:val="000B4D4B"/>
    <w:rsid w:val="000B6966"/>
    <w:rsid w:val="000D4DA6"/>
    <w:rsid w:val="000D6FF0"/>
    <w:rsid w:val="001073B9"/>
    <w:rsid w:val="001105B1"/>
    <w:rsid w:val="0012759F"/>
    <w:rsid w:val="001311F9"/>
    <w:rsid w:val="00137880"/>
    <w:rsid w:val="00142DE0"/>
    <w:rsid w:val="001803BB"/>
    <w:rsid w:val="001B76A5"/>
    <w:rsid w:val="001C4C3D"/>
    <w:rsid w:val="001C7018"/>
    <w:rsid w:val="001D10C0"/>
    <w:rsid w:val="001D7644"/>
    <w:rsid w:val="001E388E"/>
    <w:rsid w:val="001E462B"/>
    <w:rsid w:val="001E4C11"/>
    <w:rsid w:val="001F2780"/>
    <w:rsid w:val="00201B7D"/>
    <w:rsid w:val="0020548B"/>
    <w:rsid w:val="00221910"/>
    <w:rsid w:val="002271FF"/>
    <w:rsid w:val="00241C0D"/>
    <w:rsid w:val="00273B63"/>
    <w:rsid w:val="00291A1E"/>
    <w:rsid w:val="002B0158"/>
    <w:rsid w:val="003162CC"/>
    <w:rsid w:val="00326CE1"/>
    <w:rsid w:val="0035643C"/>
    <w:rsid w:val="00391738"/>
    <w:rsid w:val="003976FE"/>
    <w:rsid w:val="003A560D"/>
    <w:rsid w:val="003A7AAC"/>
    <w:rsid w:val="003C6323"/>
    <w:rsid w:val="003F527D"/>
    <w:rsid w:val="004063A2"/>
    <w:rsid w:val="00407E13"/>
    <w:rsid w:val="004110B9"/>
    <w:rsid w:val="004268AA"/>
    <w:rsid w:val="0047657E"/>
    <w:rsid w:val="00482411"/>
    <w:rsid w:val="0048461D"/>
    <w:rsid w:val="00485ECC"/>
    <w:rsid w:val="00491B9F"/>
    <w:rsid w:val="004933D0"/>
    <w:rsid w:val="0049788B"/>
    <w:rsid w:val="004B7A39"/>
    <w:rsid w:val="004C3D36"/>
    <w:rsid w:val="004D5743"/>
    <w:rsid w:val="004F1FB3"/>
    <w:rsid w:val="00512297"/>
    <w:rsid w:val="005138CA"/>
    <w:rsid w:val="0051457E"/>
    <w:rsid w:val="00514ED6"/>
    <w:rsid w:val="00540D62"/>
    <w:rsid w:val="00543E05"/>
    <w:rsid w:val="0057221C"/>
    <w:rsid w:val="00572A34"/>
    <w:rsid w:val="00584081"/>
    <w:rsid w:val="00586FCC"/>
    <w:rsid w:val="005A1B58"/>
    <w:rsid w:val="005A4A3F"/>
    <w:rsid w:val="005C0D89"/>
    <w:rsid w:val="00614AFB"/>
    <w:rsid w:val="0061551C"/>
    <w:rsid w:val="00630D23"/>
    <w:rsid w:val="00646ACC"/>
    <w:rsid w:val="00660257"/>
    <w:rsid w:val="00675199"/>
    <w:rsid w:val="00691125"/>
    <w:rsid w:val="006A6E7D"/>
    <w:rsid w:val="006D2AA7"/>
    <w:rsid w:val="0070068E"/>
    <w:rsid w:val="00710E24"/>
    <w:rsid w:val="00712F4C"/>
    <w:rsid w:val="007150BB"/>
    <w:rsid w:val="00734042"/>
    <w:rsid w:val="0076278E"/>
    <w:rsid w:val="007814AA"/>
    <w:rsid w:val="007A7FCC"/>
    <w:rsid w:val="007C7F9A"/>
    <w:rsid w:val="007D26D5"/>
    <w:rsid w:val="008009E0"/>
    <w:rsid w:val="00800BFA"/>
    <w:rsid w:val="0080402D"/>
    <w:rsid w:val="00825EF1"/>
    <w:rsid w:val="00832F77"/>
    <w:rsid w:val="00842AB8"/>
    <w:rsid w:val="0084442C"/>
    <w:rsid w:val="008467CF"/>
    <w:rsid w:val="00860125"/>
    <w:rsid w:val="008C0A00"/>
    <w:rsid w:val="008D5A75"/>
    <w:rsid w:val="008D7CC7"/>
    <w:rsid w:val="008E3BF0"/>
    <w:rsid w:val="008E47E6"/>
    <w:rsid w:val="008F4E9B"/>
    <w:rsid w:val="00920326"/>
    <w:rsid w:val="009218B8"/>
    <w:rsid w:val="00932F69"/>
    <w:rsid w:val="0094004A"/>
    <w:rsid w:val="0097657B"/>
    <w:rsid w:val="0098283A"/>
    <w:rsid w:val="009B2EA0"/>
    <w:rsid w:val="009F6A93"/>
    <w:rsid w:val="00A00D58"/>
    <w:rsid w:val="00A0180C"/>
    <w:rsid w:val="00A17693"/>
    <w:rsid w:val="00A30AFC"/>
    <w:rsid w:val="00A32419"/>
    <w:rsid w:val="00A640D3"/>
    <w:rsid w:val="00A66E75"/>
    <w:rsid w:val="00A738E3"/>
    <w:rsid w:val="00AA13C7"/>
    <w:rsid w:val="00AA3FE7"/>
    <w:rsid w:val="00AB1950"/>
    <w:rsid w:val="00AB5269"/>
    <w:rsid w:val="00AC225A"/>
    <w:rsid w:val="00AD4DBB"/>
    <w:rsid w:val="00AE7226"/>
    <w:rsid w:val="00AF6737"/>
    <w:rsid w:val="00B03ADC"/>
    <w:rsid w:val="00B16C6E"/>
    <w:rsid w:val="00B24960"/>
    <w:rsid w:val="00B41336"/>
    <w:rsid w:val="00B466FF"/>
    <w:rsid w:val="00B50EE6"/>
    <w:rsid w:val="00B910D7"/>
    <w:rsid w:val="00BB5FBF"/>
    <w:rsid w:val="00BC2653"/>
    <w:rsid w:val="00BF0050"/>
    <w:rsid w:val="00BF2D87"/>
    <w:rsid w:val="00BF7787"/>
    <w:rsid w:val="00C2625B"/>
    <w:rsid w:val="00C70FDC"/>
    <w:rsid w:val="00C729E8"/>
    <w:rsid w:val="00C83FB8"/>
    <w:rsid w:val="00C95F4A"/>
    <w:rsid w:val="00CB2A05"/>
    <w:rsid w:val="00CB7910"/>
    <w:rsid w:val="00CD7A7F"/>
    <w:rsid w:val="00CF7157"/>
    <w:rsid w:val="00D13A5B"/>
    <w:rsid w:val="00D15185"/>
    <w:rsid w:val="00D30D77"/>
    <w:rsid w:val="00D3549B"/>
    <w:rsid w:val="00D53291"/>
    <w:rsid w:val="00DA2CA0"/>
    <w:rsid w:val="00DA3FF9"/>
    <w:rsid w:val="00DB23C0"/>
    <w:rsid w:val="00DC02AD"/>
    <w:rsid w:val="00DC41B4"/>
    <w:rsid w:val="00DD0560"/>
    <w:rsid w:val="00DE2E2B"/>
    <w:rsid w:val="00DF76A5"/>
    <w:rsid w:val="00E04593"/>
    <w:rsid w:val="00E14370"/>
    <w:rsid w:val="00E23949"/>
    <w:rsid w:val="00E25A97"/>
    <w:rsid w:val="00E63CFB"/>
    <w:rsid w:val="00E726EA"/>
    <w:rsid w:val="00E92A4F"/>
    <w:rsid w:val="00E934B4"/>
    <w:rsid w:val="00EA66C5"/>
    <w:rsid w:val="00EB655F"/>
    <w:rsid w:val="00EE56D0"/>
    <w:rsid w:val="00EF5948"/>
    <w:rsid w:val="00F007A7"/>
    <w:rsid w:val="00F229D6"/>
    <w:rsid w:val="00F22FB9"/>
    <w:rsid w:val="00F32EB5"/>
    <w:rsid w:val="00F519D0"/>
    <w:rsid w:val="00F714FA"/>
    <w:rsid w:val="00FA4426"/>
    <w:rsid w:val="00FA655C"/>
    <w:rsid w:val="00FA679C"/>
    <w:rsid w:val="00FB2ACD"/>
    <w:rsid w:val="00FE6F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48C3F"/>
  <w15:docId w15:val="{CAA3101A-AD61-454B-B841-AB5A8CF5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B8"/>
    <w:pPr>
      <w:ind w:left="720"/>
      <w:contextualSpacing/>
    </w:pPr>
  </w:style>
  <w:style w:type="table" w:styleId="TableGrid">
    <w:name w:val="Table Grid"/>
    <w:basedOn w:val="TableNormal"/>
    <w:uiPriority w:val="59"/>
    <w:rsid w:val="0092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157"/>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EB65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5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8261F432811459A549D6360D0313A" ma:contentTypeVersion="8" ma:contentTypeDescription="Create a new document." ma:contentTypeScope="" ma:versionID="67a1897201193a02a5ae4927bf3140fe">
  <xsd:schema xmlns:xsd="http://www.w3.org/2001/XMLSchema" xmlns:xs="http://www.w3.org/2001/XMLSchema" xmlns:p="http://schemas.microsoft.com/office/2006/metadata/properties" xmlns:ns2="9c280902-4e8d-48d4-88f6-cd6b7c5043fd" targetNamespace="http://schemas.microsoft.com/office/2006/metadata/properties" ma:root="true" ma:fieldsID="340f8d13dbb5a74bf6106ffb057c5e0f" ns2:_="">
    <xsd:import namespace="9c280902-4e8d-48d4-88f6-cd6b7c5043fd"/>
    <xsd:element name="properties">
      <xsd:complexType>
        <xsd:sequence>
          <xsd:element name="documentManagement">
            <xsd:complexType>
              <xsd:all>
                <xsd:element ref="ns2:DocumentType"/>
                <xsd:element ref="ns2:FullProgram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80902-4e8d-48d4-88f6-cd6b7c5043fd" elementFormDefault="qualified">
    <xsd:import namespace="http://schemas.microsoft.com/office/2006/documentManagement/types"/>
    <xsd:import namespace="http://schemas.microsoft.com/office/infopath/2007/PartnerControls"/>
    <xsd:element name="DocumentType" ma:index="8" ma:displayName="Document Type" ma:list="{0ad9671d-db71-49d3-91fb-56b21de06667}" ma:internalName="DocumentType" ma:showField="Title">
      <xsd:simpleType>
        <xsd:restriction base="dms:Lookup"/>
      </xsd:simpleType>
    </xsd:element>
    <xsd:element name="FullProgramName" ma:index="9" ma:displayName="Full Program Name" ma:list="{3e4826dd-fc30-4353-9375-15309ccb0092}" ma:internalName="FullProgramName" ma:showField="FullProgram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ProgramName xmlns="9c280902-4e8d-48d4-88f6-cd6b7c5043fd">266</FullProgramName>
    <DocumentType xmlns="9c280902-4e8d-48d4-88f6-cd6b7c5043fd">30</DocumentType>
  </documentManagement>
</p:properties>
</file>

<file path=customXml/itemProps1.xml><?xml version="1.0" encoding="utf-8"?>
<ds:datastoreItem xmlns:ds="http://schemas.openxmlformats.org/officeDocument/2006/customXml" ds:itemID="{1C160FBB-14D7-4165-8593-9C30D23D13E2}">
  <ds:schemaRefs>
    <ds:schemaRef ds:uri="http://schemas.microsoft.com/sharepoint/v3/contenttype/forms"/>
  </ds:schemaRefs>
</ds:datastoreItem>
</file>

<file path=customXml/itemProps2.xml><?xml version="1.0" encoding="utf-8"?>
<ds:datastoreItem xmlns:ds="http://schemas.openxmlformats.org/officeDocument/2006/customXml" ds:itemID="{0CF50029-D01F-4DF3-BF38-3A0E028DA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80902-4e8d-48d4-88f6-cd6b7c504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A6591-A46E-4831-9D70-C5C7EB0299EA}">
  <ds:schemaRefs>
    <ds:schemaRef ds:uri="http://schemas.microsoft.com/office/2006/metadata/properties"/>
    <ds:schemaRef ds:uri="http://schemas.microsoft.com/office/infopath/2007/PartnerControls"/>
    <ds:schemaRef ds:uri="9c280902-4e8d-48d4-88f6-cd6b7c5043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Bryce</dc:creator>
  <cp:lastModifiedBy>J. Simpson</cp:lastModifiedBy>
  <cp:revision>2</cp:revision>
  <cp:lastPrinted>2015-05-26T18:44:00Z</cp:lastPrinted>
  <dcterms:created xsi:type="dcterms:W3CDTF">2019-07-09T12:53:00Z</dcterms:created>
  <dcterms:modified xsi:type="dcterms:W3CDTF">2019-07-09T12:53:00Z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0x010100B8E8261F432811459A549D6360D0313A</vt:lpwstr>
  </property>
</Properties>
</file>